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7"/>
    <w:p>
      <w:pPr>
        <w:pStyle w:val="Heading1"/>
      </w:pPr>
      <w:r>
        <w:t xml:space="preserve">Homiletics Analysis: Leviticus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17 stands at the structural hinge of the book. Chapters 1–16 establish the priestly system — sacrificial procedures, purity laws, and the climactic Day of Atonement ritual. Chapters 18–27 pivot toward holiness in community life. Chapter 17 functions as the theological bridge between these two movements: it anchors the sacrificial blood-laws that governed chapters 1–16 into daily life, extending their logic beyond the sanctuary into every act of slaughter and every encounter with blood. Its placement is not incidental — it insists that what happens at the altar is not confined to formal religion but governs the whole of Israel’s existence before a holy God.</w:t>
      </w:r>
    </w:p>
    <w:p>
      <w:pPr>
        <w:pStyle w:val="BodyText"/>
      </w:pPr>
      <w:r>
        <w:rPr>
          <w:b/>
          <w:bCs/>
        </w:rPr>
        <w:t xml:space="preserve">This Text — Content:</w:t>
      </w:r>
      <w:r>
        <w:t xml:space="preserve"> </w:t>
      </w:r>
      <w:r>
        <w:t xml:space="preserve">Leviticus 17 contains four distinct but theologically unified laws, each introduced by the standard lawgiving formula (</w:t>
      </w:r>
      <w:r>
        <w:t xml:space="preserve">“The LORD spoke to Moses, saying…”</w:t>
      </w:r>
      <w:r>
        <w:t xml:space="preserve">) and each addressed to a different dimension of the blood question. The first law (vv. 1–7) requires that all slaughter of domesticated animals — even non-sacrificial slaughter — be brought to the entrance of the tent of meeting. To slaughter elsewhere is to be cut off from the people, because doing so is equivalent to offering unauthorized sacrifice and is explicitly linked to the worship of goat-demons. The second law (vv. 8–9) extends this requirement to the foreigner residing among Israel — no one within the covenant community, native or resident, may offer a burnt offering anywhere except the one designated altar. The third and theologically central law (vv. 10–12) prohibits the eating of blood by anyone — Israelite or sojourner — under penalty of the most severe covenant consequence (being cut off), and provides the theological rationale: the life of the flesh is in the blood, and God has given it on the altar to make atonement for Israel’s life. The fourth law (vv. 13–16) addresses blood from hunted game: it must be drained and covered with earth, because blood — even that of clean animals taken in the field — belongs to God, carrying within it the life He gave.</w:t>
      </w:r>
    </w:p>
    <w:p>
      <w:pPr>
        <w:pStyle w:val="BodyText"/>
      </w:pPr>
      <w:r>
        <w:rPr>
          <w:b/>
          <w:bCs/>
        </w:rPr>
        <w:t xml:space="preserve">This Text — Intent:</w:t>
      </w:r>
      <w:r>
        <w:t xml:space="preserve"> </w:t>
      </w:r>
      <w:r>
        <w:t xml:space="preserve">God is seeking to establish in His people a deep, visceral, habitual reverence for blood as the covenant medium of atonement — not merely as a liturgical regulation, but as a theology written into their daily lives. Every act of slaughter, every meal, every hunt was to be a reminder: life belongs to God; atonement is by blood alone; the altar is the only place where life is rightly offered and received. God intends that Israel live with constant, embodied awareness that they are a people who require atonement, that atonement costs a life, and that the blood which provides it is not theirs to treat casually. The intended effect is not merely obedience to blood-laws but the formation of a people for whom the logic of substitutionary atonement is second nature — inscribed not just in their theology but in their kitchens, their fields, and their table fellowship.</w:t>
      </w:r>
    </w:p>
    <w:p>
      <w:r>
        <w:pict>
          <v:rect style="width:0;height:1.5pt" o:hralign="center" o:hrstd="t" o:hr="t"/>
        </w:pict>
      </w:r>
    </w:p>
    <w:p>
      <w:pPr>
        <w:pStyle w:val="FirstParagraph"/>
      </w:pPr>
      <w:r>
        <w:rPr>
          <w:b/>
          <w:bCs/>
        </w:rPr>
        <w:t xml:space="preserve">Subject Sentence:</w:t>
      </w:r>
      <w:r>
        <w:t xml:space="preserve"> </w:t>
      </w:r>
      <w:r>
        <w:t xml:space="preserve">The sanctity of blood declares that atonement belongs to God alone.</w:t>
      </w:r>
    </w:p>
    <w:p>
      <w:r>
        <w:pict>
          <v:rect style="width:0;height:1.5pt" o:hralign="center" o:hrstd="t" o:hr="t"/>
        </w:pict>
      </w:r>
    </w:p>
    <w:p>
      <w:pPr>
        <w:pStyle w:val="FirstParagraph"/>
      </w:pPr>
      <w:r>
        <w:rPr>
          <w:b/>
          <w:bCs/>
        </w:rPr>
        <w:t xml:space="preserve">Primary Claim:</w:t>
      </w:r>
      <w:r>
        <w:t xml:space="preserve"> </w:t>
      </w:r>
      <w:r>
        <w:t xml:space="preserve">God is forming a people who know — in bone and muscle, not merely in doctrine — that life is His, atonement costs blood, and no one may treat the medium of their redemption as common. He is not merely regulating slaughter; He is writing a theology of substitution into the daily habits of His covenant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non-sacrificial slaughter (vv. 1–7):</w:t>
      </w:r>
      <w:r>
        <w:t xml:space="preserve"> </w:t>
      </w:r>
      <w:r>
        <w:t xml:space="preserve">A significant interpretive question concerns whether this law was intended as permanent or was a temporary regulation suited to the wilderness period. Deuteronomy 12:15–16, 20–25 explicitly relaxes the centralization requirement once Israel enters the land and is dispersed across it — allowing non-sacrificial slaughter of clean animals at home, provided the blood is still drained and not eaten. Some traditions read this as a contradiction or as evidence of different source documents (the standard critical source hypothesis). The Reformed reading, following Calvin and the Westminster tradition, sees no contradiction: Deuteronomy 12 does not repeal the theology of Leviticus 17 — it adjusts one of its practical applications (geographic centralization) for changed circumstances while explicitly retaining the non-negotiable theological core (blood must not be eaten, vv. 12–14, repeated verbatim in Deuteronomy 12:16, 23–25). The principle of blood-sanctity stands unchanged; the logistical expression of it is calibrated to Israel’s dispersal across the land. This is not revision — it is progressive covenant application. The Mosaic corpus holds together.</w:t>
      </w:r>
    </w:p>
    <w:p>
      <w:pPr>
        <w:pStyle w:val="BodyText"/>
      </w:pPr>
      <w:r>
        <w:rPr>
          <w:b/>
          <w:bCs/>
        </w:rPr>
        <w:t xml:space="preserve">The goat-demons / shedim (v. 7):</w:t>
      </w:r>
      <w:r>
        <w:t xml:space="preserve"> </w:t>
      </w:r>
      <w:r>
        <w:t xml:space="preserve">The reference to</w:t>
      </w:r>
      <w:r>
        <w:t xml:space="preserve"> </w:t>
      </w:r>
      <w:r>
        <w:rPr>
          <w:i/>
          <w:iCs/>
        </w:rPr>
        <w:t xml:space="preserve">seirim</w:t>
      </w:r>
      <w:r>
        <w:t xml:space="preserve"> </w:t>
      </w:r>
      <w:r>
        <w:t xml:space="preserve">(goat-demons, or</w:t>
      </w:r>
      <w:r>
        <w:t xml:space="preserve"> </w:t>
      </w:r>
      <w:r>
        <w:t xml:space="preserve">“hairy ones”</w:t>
      </w:r>
      <w:r>
        <w:t xml:space="preserve">) is sometimes minimized in evangelical interpretation as a mere metaphor for idolatry, or alternatively sensationalized in charismatic contexts as a key to demonic territorial theology. Neither handling serves the text well. The term acknowledges real spiritual realities that Israel was in danger of pursuing — wilderness spirits or desert-demon worship practiced among surrounding peoples (cf. 2 Chronicles 11:15, where Jeroboam reinstates such worship). The law is not using</w:t>
      </w:r>
      <w:r>
        <w:t xml:space="preserve"> </w:t>
      </w:r>
      <w:r>
        <w:t xml:space="preserve">“goat-demons”</w:t>
      </w:r>
      <w:r>
        <w:t xml:space="preserve"> </w:t>
      </w:r>
      <w:r>
        <w:t xml:space="preserve">loosely. It is saying that unauthorized slaughter outside the sanctuary is not merely irregular worship — it is functionally demonic worship. The Reformed reading</w:t>
      </w:r>
      <w:r>
        <w:t xml:space="preserve"> </w:t>
      </w:r>
      <w:r>
        <w:rPr>
          <w:i/>
          <w:iCs/>
        </w:rPr>
        <w:t xml:space="preserve">acknowledges</w:t>
      </w:r>
      <w:r>
        <w:t xml:space="preserve"> </w:t>
      </w:r>
      <w:r>
        <w:t xml:space="preserve">the charismatic instinct to take spiritual realities seriously here, while</w:t>
      </w:r>
      <w:r>
        <w:t xml:space="preserve"> </w:t>
      </w:r>
      <w:r>
        <w:rPr>
          <w:i/>
          <w:iCs/>
        </w:rPr>
        <w:t xml:space="preserve">qualifying</w:t>
      </w:r>
      <w:r>
        <w:t xml:space="preserve"> </w:t>
      </w:r>
      <w:r>
        <w:t xml:space="preserve">its tendency to build a theology of territorial spirits on this verse — the text’s point is not demonology but the exclusive claim of Yahweh’s altar. To slaughter outside that altar is to align with the demonic alternative, full stop.</w:t>
      </w:r>
    </w:p>
    <w:p>
      <w:pPr>
        <w:pStyle w:val="BodyText"/>
      </w:pPr>
      <w:r>
        <w:rPr>
          <w:b/>
          <w:bCs/>
        </w:rPr>
        <w:t xml:space="preserve">The atonement rationale (vv. 10–12) and the New Testament:</w:t>
      </w:r>
      <w:r>
        <w:t xml:space="preserve"> </w:t>
      </w:r>
      <w:r>
        <w:t xml:space="preserve">The most theologically contested question is whether this passage grounds a permanent theology of substitutionary atonement or reflects a now-superseded Levitical economy. Covenant theology (Reformed) reads this as the most explicit Old Testament statement of the principle that Hebrews 9:22 expounds —</w:t>
      </w:r>
      <w:r>
        <w:t xml:space="preserve"> </w:t>
      </w:r>
      <w:r>
        <w:t xml:space="preserve">“without the shedding of blood there is no forgiveness.”</w:t>
      </w:r>
      <w:r>
        <w:t xml:space="preserve"> </w:t>
      </w:r>
      <w:r>
        <w:t xml:space="preserve">The blood-atonement logic here is not merely typological scaffolding to be dismantled once Christ comes; it is the permanent theological truth of which the Levitical system is the anticipatory expression. Christ’s blood does not end the theology of Leviticus 17:11 — it</w:t>
      </w:r>
      <w:r>
        <w:t xml:space="preserve"> </w:t>
      </w:r>
      <w:r>
        <w:rPr>
          <w:i/>
          <w:iCs/>
        </w:rPr>
        <w:t xml:space="preserve">fulfills</w:t>
      </w:r>
      <w:r>
        <w:t xml:space="preserve"> </w:t>
      </w:r>
      <w:r>
        <w:t xml:space="preserve">it, pouring into it the substance that animal blood could only point toward (Hebrews 10:4). Dispensational readings that treat the Levitical blood-laws as a distinct economy with no theological continuity into the New Covenant are</w:t>
      </w:r>
      <w:r>
        <w:t xml:space="preserve"> </w:t>
      </w:r>
      <w:r>
        <w:rPr>
          <w:i/>
          <w:iCs/>
        </w:rPr>
        <w:t xml:space="preserve">refuted</w:t>
      </w:r>
      <w:r>
        <w:t xml:space="preserve"> </w:t>
      </w:r>
      <w:r>
        <w:t xml:space="preserve">by the explicit argument of Hebrews 9–10, which makes the Levitical system the direct scaffolding for the exposition of Christ’s once-for-all sacrifice. The blood-theology of Leviticus 17 is not left behind — it is arrived at.</w:t>
      </w:r>
    </w:p>
    <w:p>
      <w:pPr>
        <w:pStyle w:val="BodyText"/>
      </w:pPr>
      <w:r>
        <w:rPr>
          <w:b/>
          <w:bCs/>
        </w:rPr>
        <w:t xml:space="preserve">The prohibition and Acts 15:20, 29:</w:t>
      </w:r>
      <w:r>
        <w:t xml:space="preserve"> </w:t>
      </w:r>
      <w:r>
        <w:t xml:space="preserve">The Jerusalem Council’s instruction to Gentile believers to</w:t>
      </w:r>
      <w:r>
        <w:t xml:space="preserve"> </w:t>
      </w:r>
      <w:r>
        <w:t xml:space="preserve">“abstain from blood”</w:t>
      </w:r>
      <w:r>
        <w:t xml:space="preserve"> </w:t>
      </w:r>
      <w:r>
        <w:t xml:space="preserve">(Acts 15:20, 29) has generated ongoing debate. Some traditions (notably certain Eastern Orthodox and some Anglican interpreters) treat this as a permanent moral command binding on the New Covenant church. Others (the majority of Reformed and Baptist interpreters) read it as a temporary, pastoral accommodation to promote table fellowship between Jewish and Gentile Christians in mixed communities — an application of the love principle, not a re-imposition of the Levitical blood law. The Reformed reading</w:t>
      </w:r>
      <w:r>
        <w:t xml:space="preserve"> </w:t>
      </w:r>
      <w:r>
        <w:rPr>
          <w:i/>
          <w:iCs/>
        </w:rPr>
        <w:t xml:space="preserve">qualifies</w:t>
      </w:r>
      <w:r>
        <w:t xml:space="preserve"> </w:t>
      </w:r>
      <w:r>
        <w:t xml:space="preserve">the permanent-law reading: the Jerusalem Council’s decree addresses a specific ecclesiological moment (the integration of Jewish and Gentile believers) rather than a timeless dietary code. The abiding theological principle from Leviticus 17 is not</w:t>
      </w:r>
      <w:r>
        <w:t xml:space="preserve"> </w:t>
      </w:r>
      <w:r>
        <w:t xml:space="preserve">“do not eat blood”</w:t>
      </w:r>
      <w:r>
        <w:t xml:space="preserve"> </w:t>
      </w:r>
      <w:r>
        <w:t xml:space="preserve">but</w:t>
      </w:r>
      <w:r>
        <w:t xml:space="preserve"> </w:t>
      </w:r>
      <w:r>
        <w:t xml:space="preserve">“the blood of Christ is the sole medium of your atonement — treat it accordingly.”</w:t>
      </w:r>
      <w:r>
        <w:t xml:space="preserve"> </w:t>
      </w:r>
      <w:r>
        <w:t xml:space="preserve">That principle is not diminished by the relaxation of the dietary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9:4–6</w:t>
      </w:r>
      <w:r>
        <w:t xml:space="preserve"> </w:t>
      </w:r>
      <w:r>
        <w:t xml:space="preserve">— The prohibition of eating blood predates Sinai, rooted in the Noahic covenant: blood carries life, and life belongs to God alone. This establishes blood-sanctity as a creational, not merely Levitical, principle, grounding Leviticus 17 in the oldest covenant theology.</w:t>
      </w:r>
    </w:p>
    <w:p>
      <w:pPr>
        <w:numPr>
          <w:ilvl w:val="0"/>
          <w:numId w:val="1001"/>
        </w:numPr>
      </w:pPr>
      <w:r>
        <w:rPr>
          <w:b/>
          <w:bCs/>
        </w:rPr>
        <w:t xml:space="preserve">Hebrews 9:11–14, 22</w:t>
      </w:r>
      <w:r>
        <w:t xml:space="preserve"> </w:t>
      </w:r>
      <w:r>
        <w:t xml:space="preserve">— The explicit New Testament exposition of the Levitical blood-atonement principle:</w:t>
      </w:r>
      <w:r>
        <w:t xml:space="preserve"> </w:t>
      </w:r>
      <w:r>
        <w:t xml:space="preserve">“without the shedding of blood there is no forgiveness.”</w:t>
      </w:r>
      <w:r>
        <w:t xml:space="preserve"> </w:t>
      </w:r>
      <w:r>
        <w:t xml:space="preserve">Hebrews reads Leviticus 17:11 as the permanent theological axiom that Christ’s sacrifice brings to its definitive fulfillment.</w:t>
      </w:r>
    </w:p>
    <w:p>
      <w:pPr>
        <w:numPr>
          <w:ilvl w:val="0"/>
          <w:numId w:val="1001"/>
        </w:numPr>
      </w:pPr>
      <w:r>
        <w:rPr>
          <w:b/>
          <w:bCs/>
        </w:rPr>
        <w:t xml:space="preserve">Hebrews 10:1–10</w:t>
      </w:r>
      <w:r>
        <w:t xml:space="preserve"> </w:t>
      </w:r>
      <w:r>
        <w:t xml:space="preserve">— Blood that cannot ultimately take away sins (Leviticus) is replaced by the body and blood of Christ, offered once for all. This is the canonical landing point of every Levitical blood-offering — including those regulated in chapter 17.</w:t>
      </w:r>
    </w:p>
    <w:p>
      <w:pPr>
        <w:numPr>
          <w:ilvl w:val="0"/>
          <w:numId w:val="1001"/>
        </w:numPr>
      </w:pPr>
      <w:r>
        <w:rPr>
          <w:b/>
          <w:bCs/>
        </w:rPr>
        <w:t xml:space="preserve">John 6:53–56</w:t>
      </w:r>
      <w:r>
        <w:t xml:space="preserve"> </w:t>
      </w:r>
      <w:r>
        <w:t xml:space="preserve">— Christ’s</w:t>
      </w:r>
      <w:r>
        <w:t xml:space="preserve"> </w:t>
      </w:r>
      <w:r>
        <w:t xml:space="preserve">“drink my blood”</w:t>
      </w:r>
      <w:r>
        <w:t xml:space="preserve"> </w:t>
      </w:r>
      <w:r>
        <w:t xml:space="preserve">language deliberately evokes the Levitical blood-prohibition, inverting it: the blood Israel could not consume under the old covenant is now the blood they must consume (sacramentally/faith-union) under the new. The life-in-the-blood of Leviticus 17:11 is fulfilled in the life of Christ given to and for His people.</w:t>
      </w:r>
    </w:p>
    <w:p>
      <w:pPr>
        <w:numPr>
          <w:ilvl w:val="0"/>
          <w:numId w:val="1001"/>
        </w:numPr>
      </w:pPr>
      <w:r>
        <w:rPr>
          <w:b/>
          <w:bCs/>
        </w:rPr>
        <w:t xml:space="preserve">1 Peter 1:18–19</w:t>
      </w:r>
      <w:r>
        <w:t xml:space="preserve"> </w:t>
      </w:r>
      <w:r>
        <w:t xml:space="preserve">— Believers are ransomed</w:t>
      </w:r>
      <w:r>
        <w:t xml:space="preserve"> </w:t>
      </w:r>
      <w:r>
        <w:t xml:space="preserve">“with the precious blood of Christ, like that of a lamb without blemish or spot”</w:t>
      </w:r>
      <w:r>
        <w:t xml:space="preserve"> </w:t>
      </w:r>
      <w:r>
        <w:t xml:space="preserve">— drawing directly on the Levitical sacrificial economy to articulate the cost of redemption. The blood-theology of Leviticus 17 is not background decoration; it is the vocabulary Peter uses to preach the gospel.</w:t>
      </w:r>
    </w:p>
    <w:p>
      <w:r>
        <w:pict>
          <v:rect style="width:0;height:1.5pt" o:hralign="center" o:hrstd="t" o:hr="t"/>
        </w:pict>
      </w:r>
    </w:p>
    <w:p>
      <w:pPr>
        <w:pStyle w:val="FirstParagraph"/>
      </w:pPr>
      <w:r>
        <w:rPr>
          <w:b/>
          <w:bCs/>
        </w:rPr>
        <w:t xml:space="preserve">Aim:</w:t>
      </w:r>
      <w:r>
        <w:t xml:space="preserve"> </w:t>
      </w:r>
      <w:r>
        <w:t xml:space="preserve">To show that the blood-laws of Leviticus 17 are not ancient hygiene regulations but a God-inscribed theology of atonement written into the daily habits of His people — a theology that reaches its full force in the blood of Jesus Christ and calls every believer to treat that blood as the most sacred reality in their existence.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Standard lawgiving formula; addressees: Aaron, his sons, all Israel</w:t>
            </w:r>
          </w:p>
        </w:tc>
        <w:tc>
          <w:tcPr/>
          <w:p>
            <w:pPr>
              <w:pStyle w:val="Compact"/>
            </w:pPr>
            <w:r>
              <w:t xml:space="preserve">Unusually inclusive addressee — priests and people together; this is not priestly law only</w:t>
            </w:r>
          </w:p>
        </w:tc>
      </w:tr>
      <w:tr>
        <w:tc>
          <w:tcPr/>
          <w:p>
            <w:pPr>
              <w:pStyle w:val="Compact"/>
            </w:pPr>
            <w:r>
              <w:t xml:space="preserve">3–4</w:t>
            </w:r>
          </w:p>
        </w:tc>
        <w:tc>
          <w:tcPr/>
          <w:p>
            <w:pPr>
              <w:pStyle w:val="Compact"/>
            </w:pPr>
            <w:r>
              <w:t xml:space="preserve">Any Israelite who slaughters an ox, lamb, or goat inside or outside the camp without bringing it to the tent of meeting — bloodguilt shall be counted against him</w:t>
            </w:r>
          </w:p>
        </w:tc>
        <w:tc>
          <w:tcPr/>
          <w:p>
            <w:pPr>
              <w:pStyle w:val="Compact"/>
            </w:pPr>
            <w:r>
              <w:t xml:space="preserve">“Bloodguilt”</w:t>
            </w:r>
            <w:r>
              <w:t xml:space="preserve"> </w:t>
            </w:r>
            <w:r>
              <w:t xml:space="preserve">(</w:t>
            </w:r>
            <w:r>
              <w:rPr>
                <w:i/>
                <w:iCs/>
              </w:rPr>
              <w:t xml:space="preserve">dam</w:t>
            </w:r>
            <w:r>
              <w:t xml:space="preserve">) — same term used for murder; unauthorized slaughter = shedding life illegitimately</w:t>
            </w:r>
          </w:p>
        </w:tc>
      </w:tr>
      <w:tr>
        <w:tc>
          <w:tcPr/>
          <w:p>
            <w:pPr>
              <w:pStyle w:val="Compact"/>
            </w:pPr>
            <w:r>
              <w:t xml:space="preserve">5</w:t>
            </w:r>
          </w:p>
        </w:tc>
        <w:tc>
          <w:tcPr/>
          <w:p>
            <w:pPr>
              <w:pStyle w:val="Compact"/>
            </w:pPr>
            <w:r>
              <w:t xml:space="preserve">Purpose: so Israel brings their sacrifices to the LORD at the tent of meeting; the priest shall throw the blood on the altar</w:t>
            </w:r>
          </w:p>
        </w:tc>
        <w:tc>
          <w:tcPr/>
          <w:p>
            <w:pPr>
              <w:pStyle w:val="Compact"/>
            </w:pPr>
            <w:r>
              <w:t xml:space="preserve">The positive intent of the law: to draw all sacrifice into the singular authorized place</w:t>
            </w:r>
          </w:p>
        </w:tc>
      </w:tr>
      <w:tr>
        <w:tc>
          <w:tcPr/>
          <w:p>
            <w:pPr>
              <w:pStyle w:val="Compact"/>
            </w:pPr>
            <w:r>
              <w:t xml:space="preserve">6</w:t>
            </w:r>
          </w:p>
        </w:tc>
        <w:tc>
          <w:tcPr/>
          <w:p>
            <w:pPr>
              <w:pStyle w:val="Compact"/>
            </w:pPr>
            <w:r>
              <w:t xml:space="preserve">The priest burns the fat as a pleasing aroma to the LORD</w:t>
            </w:r>
          </w:p>
        </w:tc>
        <w:tc>
          <w:tcPr/>
          <w:p>
            <w:pPr>
              <w:pStyle w:val="Compact"/>
            </w:pPr>
            <w:r>
              <w:t xml:space="preserve">Only authorized sacrifice produces a</w:t>
            </w:r>
            <w:r>
              <w:t xml:space="preserve"> </w:t>
            </w:r>
            <w:r>
              <w:t xml:space="preserve">“pleasing aroma”</w:t>
            </w:r>
            <w:r>
              <w:t xml:space="preserve"> </w:t>
            </w:r>
            <w:r>
              <w:t xml:space="preserve">— acceptance before God</w:t>
            </w:r>
          </w:p>
        </w:tc>
      </w:tr>
      <w:tr>
        <w:tc>
          <w:tcPr/>
          <w:p>
            <w:pPr>
              <w:pStyle w:val="Compact"/>
            </w:pPr>
            <w:r>
              <w:t xml:space="preserve">7</w:t>
            </w:r>
          </w:p>
        </w:tc>
        <w:tc>
          <w:tcPr/>
          <w:p>
            <w:pPr>
              <w:pStyle w:val="Compact"/>
            </w:pPr>
            <w:r>
              <w:t xml:space="preserve">They must no longer sacrifice to goat-demons (</w:t>
            </w:r>
            <w:r>
              <w:rPr>
                <w:i/>
                <w:iCs/>
              </w:rPr>
              <w:t xml:space="preserve">seirim</w:t>
            </w:r>
            <w:r>
              <w:t xml:space="preserve">) — a statute forever throughout their generations</w:t>
            </w:r>
          </w:p>
        </w:tc>
        <w:tc>
          <w:tcPr/>
          <w:p>
            <w:pPr>
              <w:pStyle w:val="Compact"/>
            </w:pPr>
            <w:r>
              <w:t xml:space="preserve">The spiritual stakes of the law revealed: unauthorized sacrifice is not merely irregular — it is demonic worship</w:t>
            </w:r>
          </w:p>
        </w:tc>
      </w:tr>
      <w:tr>
        <w:tc>
          <w:tcPr/>
          <w:p>
            <w:pPr>
              <w:pStyle w:val="Compact"/>
            </w:pPr>
            <w:r>
              <w:t xml:space="preserve">8–9</w:t>
            </w:r>
          </w:p>
        </w:tc>
        <w:tc>
          <w:tcPr/>
          <w:p>
            <w:pPr>
              <w:pStyle w:val="Compact"/>
            </w:pPr>
            <w:r>
              <w:t xml:space="preserve">Expanded to resident foreigners: any person who offers a burnt offering without bringing it to the tent shall be cut off</w:t>
            </w:r>
          </w:p>
        </w:tc>
        <w:tc>
          <w:tcPr/>
          <w:p>
            <w:pPr>
              <w:pStyle w:val="Compact"/>
            </w:pPr>
            <w:r>
              <w:t xml:space="preserve">The law is not ethnically bounded — any who dwell among Israel are under the same blood-authority of Yahweh’s altar</w:t>
            </w:r>
          </w:p>
        </w:tc>
      </w:tr>
      <w:tr>
        <w:tc>
          <w:tcPr/>
          <w:p>
            <w:pPr>
              <w:pStyle w:val="Compact"/>
            </w:pPr>
            <w:r>
              <w:t xml:space="preserve">10</w:t>
            </w:r>
          </w:p>
        </w:tc>
        <w:tc>
          <w:tcPr/>
          <w:p>
            <w:pPr>
              <w:pStyle w:val="Compact"/>
            </w:pPr>
            <w:r>
              <w:t xml:space="preserve">The LORD sets His face against anyone — Israelite or sojourner — who eats blood; that person shall be cut off</w:t>
            </w:r>
          </w:p>
        </w:tc>
        <w:tc>
          <w:tcPr/>
          <w:p>
            <w:pPr>
              <w:pStyle w:val="Compact"/>
            </w:pPr>
            <w:r>
              <w:t xml:space="preserve">“I myself will set my face”</w:t>
            </w:r>
            <w:r>
              <w:t xml:space="preserve"> </w:t>
            </w:r>
            <w:r>
              <w:t xml:space="preserve">— unusually direct divine first-person enforcement; maximally severe</w:t>
            </w:r>
          </w:p>
        </w:tc>
      </w:tr>
      <w:tr>
        <w:tc>
          <w:tcPr/>
          <w:p>
            <w:pPr>
              <w:pStyle w:val="Compact"/>
            </w:pPr>
            <w:r>
              <w:t xml:space="preserve">11a</w:t>
            </w:r>
          </w:p>
        </w:tc>
        <w:tc>
          <w:tcPr/>
          <w:p>
            <w:pPr>
              <w:pStyle w:val="Compact"/>
            </w:pPr>
            <w:r>
              <w:rPr>
                <w:b/>
                <w:bCs/>
              </w:rPr>
              <w:t xml:space="preserve">Theological rationale</w:t>
            </w:r>
            <w:r>
              <w:t xml:space="preserve">: the life (</w:t>
            </w:r>
            <w:r>
              <w:rPr>
                <w:i/>
                <w:iCs/>
              </w:rPr>
              <w:t xml:space="preserve">nephesh</w:t>
            </w:r>
            <w:r>
              <w:t xml:space="preserve">) of the flesh is in the blood</w:t>
            </w:r>
          </w:p>
        </w:tc>
        <w:tc>
          <w:tcPr/>
          <w:p>
            <w:pPr>
              <w:pStyle w:val="Compact"/>
            </w:pPr>
            <w:r>
              <w:t xml:space="preserve">The axiomatic statement; the foundation of all that follows in this chapter and all that Hebrews expounds</w:t>
            </w:r>
          </w:p>
        </w:tc>
      </w:tr>
      <w:tr>
        <w:tc>
          <w:tcPr/>
          <w:p>
            <w:pPr>
              <w:pStyle w:val="Compact"/>
            </w:pPr>
            <w:r>
              <w:t xml:space="preserve">11b</w:t>
            </w:r>
          </w:p>
        </w:tc>
        <w:tc>
          <w:tcPr/>
          <w:p>
            <w:pPr>
              <w:pStyle w:val="Compact"/>
            </w:pPr>
            <w:r>
              <w:t xml:space="preserve">God has given it on the altar to make atonement for your lives</w:t>
            </w:r>
          </w:p>
        </w:tc>
        <w:tc>
          <w:tcPr/>
          <w:p>
            <w:pPr>
              <w:pStyle w:val="Compact"/>
            </w:pPr>
            <w:r>
              <w:t xml:space="preserve">Three elements: divine gift, altar location, substitutionary purpose — atonement by the life of another</w:t>
            </w:r>
          </w:p>
        </w:tc>
      </w:tr>
      <w:tr>
        <w:tc>
          <w:tcPr/>
          <w:p>
            <w:pPr>
              <w:pStyle w:val="Compact"/>
            </w:pPr>
            <w:r>
              <w:t xml:space="preserve">11c</w:t>
            </w:r>
          </w:p>
        </w:tc>
        <w:tc>
          <w:tcPr/>
          <w:p>
            <w:pPr>
              <w:pStyle w:val="Compact"/>
            </w:pPr>
            <w:r>
              <w:t xml:space="preserve">It is the blood that makes atonement by the life</w:t>
            </w:r>
          </w:p>
        </w:tc>
        <w:tc>
          <w:tcPr/>
          <w:p>
            <w:pPr>
              <w:pStyle w:val="Compact"/>
            </w:pPr>
            <w:r>
              <w:t xml:space="preserve">Restatement for emphasis — the blood’s atoning power derives from the life it carries</w:t>
            </w:r>
          </w:p>
        </w:tc>
      </w:tr>
      <w:tr>
        <w:tc>
          <w:tcPr/>
          <w:p>
            <w:pPr>
              <w:pStyle w:val="Compact"/>
            </w:pPr>
            <w:r>
              <w:t xml:space="preserve">12</w:t>
            </w:r>
          </w:p>
        </w:tc>
        <w:tc>
          <w:tcPr/>
          <w:p>
            <w:pPr>
              <w:pStyle w:val="Compact"/>
            </w:pPr>
            <w:r>
              <w:t xml:space="preserve">Therefore: no person shall eat blood — Israelite or sojourner</w:t>
            </w:r>
          </w:p>
        </w:tc>
        <w:tc>
          <w:tcPr/>
          <w:p>
            <w:pPr>
              <w:pStyle w:val="Compact"/>
            </w:pPr>
            <w:r>
              <w:t xml:space="preserve">The prohibition directly derived from the theology of v. 11</w:t>
            </w:r>
          </w:p>
        </w:tc>
      </w:tr>
      <w:tr>
        <w:tc>
          <w:tcPr/>
          <w:p>
            <w:pPr>
              <w:pStyle w:val="Compact"/>
            </w:pPr>
            <w:r>
              <w:t xml:space="preserve">13</w:t>
            </w:r>
          </w:p>
        </w:tc>
        <w:tc>
          <w:tcPr/>
          <w:p>
            <w:pPr>
              <w:pStyle w:val="Compact"/>
            </w:pPr>
            <w:r>
              <w:t xml:space="preserve">Any Israelite or sojourner who hunts and kills a clean animal or bird: drain the blood and cover it with earth</w:t>
            </w:r>
          </w:p>
        </w:tc>
        <w:tc>
          <w:tcPr/>
          <w:p>
            <w:pPr>
              <w:pStyle w:val="Compact"/>
            </w:pPr>
            <w:r>
              <w:t xml:space="preserve">Extension to non-sacrificial contexts — even field hunting is governed by blood-sanctity</w:t>
            </w:r>
          </w:p>
        </w:tc>
      </w:tr>
      <w:tr>
        <w:tc>
          <w:tcPr/>
          <w:p>
            <w:pPr>
              <w:pStyle w:val="Compact"/>
            </w:pPr>
            <w:r>
              <w:t xml:space="preserve">14</w:t>
            </w:r>
          </w:p>
        </w:tc>
        <w:tc>
          <w:tcPr/>
          <w:p>
            <w:pPr>
              <w:pStyle w:val="Compact"/>
            </w:pPr>
            <w:r>
              <w:t xml:space="preserve">Rationale restated: the life of every creature is its blood; therefore no one may eat blood</w:t>
            </w:r>
          </w:p>
        </w:tc>
        <w:tc>
          <w:tcPr/>
          <w:p>
            <w:pPr>
              <w:pStyle w:val="Compact"/>
            </w:pPr>
            <w:r>
              <w:t xml:space="preserve">The creational principle (cf. Genesis 9:4) re-grounded for the hunt context</w:t>
            </w:r>
          </w:p>
        </w:tc>
      </w:tr>
      <w:tr>
        <w:tc>
          <w:tcPr/>
          <w:p>
            <w:pPr>
              <w:pStyle w:val="Compact"/>
            </w:pPr>
            <w:r>
              <w:t xml:space="preserve">15–16</w:t>
            </w:r>
          </w:p>
        </w:tc>
        <w:tc>
          <w:tcPr/>
          <w:p>
            <w:pPr>
              <w:pStyle w:val="Compact"/>
            </w:pPr>
            <w:r>
              <w:t xml:space="preserve">If any person eats an animal that died naturally or was torn by beasts: unclean until evening; wash clothing and body; if not, bears iniquity</w:t>
            </w:r>
          </w:p>
        </w:tc>
        <w:tc>
          <w:tcPr/>
          <w:p>
            <w:pPr>
              <w:pStyle w:val="Compact"/>
            </w:pPr>
            <w:r>
              <w:t xml:space="preserve">Graduated consequence — not</w:t>
            </w:r>
            <w:r>
              <w:t xml:space="preserve"> </w:t>
            </w:r>
            <w:r>
              <w:t xml:space="preserve">“cut off”</w:t>
            </w:r>
            <w:r>
              <w:t xml:space="preserve"> </w:t>
            </w:r>
            <w:r>
              <w:t xml:space="preserve">but ritually impure; the concession acknowledges accident/necessity while still marking blood-impurity as defiling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Centralized Altar: All Slaughter to the One Authorized Place</w:t>
            </w:r>
          </w:p>
        </w:tc>
      </w:tr>
      <w:tr>
        <w:tc>
          <w:tcPr/>
          <w:p>
            <w:pPr>
              <w:pStyle w:val="Compact"/>
            </w:pPr>
            <w:r>
              <w:t xml:space="preserve">2</w:t>
            </w:r>
          </w:p>
        </w:tc>
        <w:tc>
          <w:tcPr/>
          <w:p>
            <w:pPr>
              <w:pStyle w:val="Compact"/>
            </w:pPr>
            <w:r>
              <w:t xml:space="preserve">8–9</w:t>
            </w:r>
          </w:p>
        </w:tc>
        <w:tc>
          <w:tcPr/>
          <w:p>
            <w:pPr>
              <w:pStyle w:val="Compact"/>
            </w:pPr>
            <w:r>
              <w:t xml:space="preserve">Extended Scope: The Foreigner Under the Same Blood-Authority</w:t>
            </w:r>
          </w:p>
        </w:tc>
      </w:tr>
      <w:tr>
        <w:tc>
          <w:tcPr/>
          <w:p>
            <w:pPr>
              <w:pStyle w:val="Compact"/>
            </w:pPr>
            <w:r>
              <w:t xml:space="preserve">3</w:t>
            </w:r>
          </w:p>
        </w:tc>
        <w:tc>
          <w:tcPr/>
          <w:p>
            <w:pPr>
              <w:pStyle w:val="Compact"/>
            </w:pPr>
            <w:r>
              <w:t xml:space="preserve">10–12</w:t>
            </w:r>
          </w:p>
        </w:tc>
        <w:tc>
          <w:tcPr/>
          <w:p>
            <w:pPr>
              <w:pStyle w:val="Compact"/>
            </w:pPr>
            <w:r>
              <w:t xml:space="preserve">The Theological Heart: Life Is in the Blood; God Has Given It for Atonement</w:t>
            </w:r>
          </w:p>
        </w:tc>
      </w:tr>
      <w:tr>
        <w:tc>
          <w:tcPr/>
          <w:p>
            <w:pPr>
              <w:pStyle w:val="Compact"/>
            </w:pPr>
            <w:r>
              <w:t xml:space="preserve">4</w:t>
            </w:r>
          </w:p>
        </w:tc>
        <w:tc>
          <w:tcPr/>
          <w:p>
            <w:pPr>
              <w:pStyle w:val="Compact"/>
            </w:pPr>
            <w:r>
              <w:t xml:space="preserve">13–14</w:t>
            </w:r>
          </w:p>
        </w:tc>
        <w:tc>
          <w:tcPr/>
          <w:p>
            <w:pPr>
              <w:pStyle w:val="Compact"/>
            </w:pPr>
            <w:r>
              <w:t xml:space="preserve">The Hunt: Blood-Sanctity Beyond the Sanctuary</w:t>
            </w:r>
          </w:p>
        </w:tc>
      </w:tr>
      <w:tr>
        <w:tc>
          <w:tcPr/>
          <w:p>
            <w:pPr>
              <w:pStyle w:val="Compact"/>
            </w:pPr>
            <w:r>
              <w:t xml:space="preserve">5</w:t>
            </w:r>
          </w:p>
        </w:tc>
        <w:tc>
          <w:tcPr/>
          <w:p>
            <w:pPr>
              <w:pStyle w:val="Compact"/>
            </w:pPr>
            <w:r>
              <w:t xml:space="preserve">15–16</w:t>
            </w:r>
          </w:p>
        </w:tc>
        <w:tc>
          <w:tcPr/>
          <w:p>
            <w:pPr>
              <w:pStyle w:val="Compact"/>
            </w:pPr>
            <w:r>
              <w:t xml:space="preserve">The Edge Case: Accidental Uncleanness and Its Remedy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sanctity of blood declares that atonement belongs to God alone.</w:t>
      </w:r>
    </w:p>
    <w:p>
      <w:pPr>
        <w:pStyle w:val="BodyText"/>
      </w:pPr>
      <w:r>
        <w:rPr>
          <w:b/>
          <w:bCs/>
        </w:rPr>
        <w:t xml:space="preserve">Primary Claim:</w:t>
      </w:r>
      <w:r>
        <w:t xml:space="preserve"> </w:t>
      </w:r>
      <w:r>
        <w:t xml:space="preserve">God is forming a people who know — in bone and muscle, not merely in doctrine — that life is His, atonement costs blood, and no one may treat the medium of their redemption as common. He is not merely regulating slaughter; He is writing a theology of substitution into the daily habits of His covenant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Receive the theology of verse 11 as the grammar of your salvation.</w:t>
      </w:r>
      <w:r>
        <w:t xml:space="preserve"> </w:t>
      </w:r>
      <w:r>
        <w:t xml:space="preserve">Leviticus 17:11 is not background information — it is the most compressed statement of substitutionary atonement in the Old Testament: life in the blood, given by God, placed on the altar, to make atonement for your life. If you find substitutionary atonement theologically uncomfortable — if the</w:t>
      </w:r>
      <w:r>
        <w:t xml:space="preserve"> </w:t>
      </w:r>
      <w:r>
        <w:t xml:space="preserve">“violence”</w:t>
      </w:r>
      <w:r>
        <w:t xml:space="preserve"> </w:t>
      </w:r>
      <w:r>
        <w:t xml:space="preserve">of it offends you, or if you prefer to speak of Christ’s death as moral example or divine solidarity — Leviticus 17 will not permit that retreat. God designed this system. He chose blood. He insisted on it from the Noahic covenant through Sinai through the cross. The question is not whether you find it aesthetically acceptable but whether you will receive it as the grammar God has chosen for your redemption. The life of Christ was given on the altar of the cross for your life. That is not one metaphor among many — it is the theological truth everything else depends on.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Feel the weight of what it cost for you to be clean before God.</w:t>
      </w:r>
      <w:r>
        <w:t xml:space="preserve"> </w:t>
      </w:r>
      <w:r>
        <w:t xml:space="preserve">Israel’s blood-laws were not meant to be executed with clinical detachment. The blood drained into the earth on a field hunt, the blood thrown against the altar, the blood that could not be eaten — all of it was designed to keep before Israel’s eyes the cost of the life they were living before a holy God. Modern believers are in danger of receiving their redemption with no felt sense of what it cost. The blood of Jesus Christ is not a transaction processed invisibly in the background of a comfortable Christianity. Let this chapter do its work: the life of the Son of God was poured out — drained, given, expended — so that atonement could be made for yours. Sit with that until it produces in you not comfort but awe.</w:t>
      </w:r>
    </w:p>
    <w:p>
      <w:pPr>
        <w:pStyle w:val="BodyText"/>
      </w:pPr>
      <w:r>
        <w:rPr>
          <w:b/>
          <w:bCs/>
        </w:rPr>
        <w:t xml:space="preserve">3.</w:t>
      </w:r>
      <w:r>
        <w:rPr>
          <w:b/>
          <w:bCs/>
        </w:rPr>
        <w:t xml:space="preserve"> </w:t>
      </w:r>
      <w:r>
        <w:rPr>
          <w:b/>
          <w:bCs/>
          <w:i/>
          <w:iCs/>
        </w:rPr>
        <w:t xml:space="preserve">(Mind/Belief)</w:t>
      </w:r>
      <w:r>
        <w:rPr>
          <w:b/>
          <w:bCs/>
        </w:rPr>
        <w:t xml:space="preserve"> </w:t>
      </w:r>
      <w:r>
        <w:rPr>
          <w:b/>
          <w:bCs/>
        </w:rPr>
        <w:t xml:space="preserve">Understand that unauthorized worship — worship on your own terms — is not merely irregular; it is a form of idolatry.</w:t>
      </w:r>
      <w:r>
        <w:t xml:space="preserve"> </w:t>
      </w:r>
      <w:r>
        <w:t xml:space="preserve">The law of the centralized altar was not bureaucratic. Slaughter outside the designated place was equated with sacrificing to goat-demons. The logic is not that Israelites consciously intended demon-worship when they slaughtered at home — it is that any worship that bypasses God’s appointed mediatorial structure is functionally demonic worship, regardless of what the worshiper intends. The New Covenant application is not that there is only one building in which God may be approached — it is that there is only one Mediator through whom God may be approached (1 Timothy 2:5), only one sacrifice through which atonement has been made. A Christianity that approaches God through personal sincerity, moral effort, or any pathway other than the blood of Christ is not merely deficient — it is approaching a different altar entirely.</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Refuse to trivialize the Lord’s Supper by receiving it without examination.</w:t>
      </w:r>
      <w:r>
        <w:t xml:space="preserve"> </w:t>
      </w:r>
      <w:r>
        <w:t xml:space="preserve">Paul’s warning in 1 Corinthians 11:27–29 about eating and drinking</w:t>
      </w:r>
      <w:r>
        <w:t xml:space="preserve"> </w:t>
      </w:r>
      <w:r>
        <w:t xml:space="preserve">“in an unworthy manner”</w:t>
      </w:r>
      <w:r>
        <w:t xml:space="preserve"> </w:t>
      </w:r>
      <w:r>
        <w:t xml:space="preserve">and thereby sinning against</w:t>
      </w:r>
      <w:r>
        <w:t xml:space="preserve"> </w:t>
      </w:r>
      <w:r>
        <w:t xml:space="preserve">“the body and blood of the Lord”</w:t>
      </w:r>
      <w:r>
        <w:t xml:space="preserve"> </w:t>
      </w:r>
      <w:r>
        <w:t xml:space="preserve">is the New Covenant echo of Leviticus 17’s blood-laws. The Table is not a formality, a tradition, or a moment of quiet personal reflection. It is the place where the blood of the new covenant is proclaimed and received. The congregation that drifts into casual, unexamined communion is doing with Christ’s blood what Israel was forbidden to do with the blood of its sacrifices — treating as common what God has declared most sacred. Before the next Table: examine yourself, confess what is unresolved, and receive the bread and cup as the most serious and most wonderful thing you will do this week.</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logic of substitution reshape how you understand your entire life before God.</w:t>
      </w:r>
      <w:r>
        <w:t xml:space="preserve"> </w:t>
      </w:r>
      <w:r>
        <w:t xml:space="preserve">Every Israelite who slaughtered an animal and watched the priest throw the blood against the altar was meant to understand something in their gut: that animal died instead of me; that life was given so mine could continue before a holy God. The entire Levitical system was a sustained, embodied education in substitution. Christians now live on the far side of that education’s culmination — the Lamb of God has been slaughtered, His blood has been thrown, atonement has been made once for all. The appropriate response is not relief that the system is now behind us, but a life organized around gratitude for the Substitute. You are not self-made, self-sustaining, or self-atoning. You exist before God solely because Another gave His life for yours. Live accordingly — in your generosity, your humility, your willingness to lay your life down for others, because the logic of substitution that saved you is now the logic you are called to embody.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17 contains one of the most theologically dense sentences in the Old Testament:</w:t>
      </w:r>
      <w:r>
        <w:t xml:space="preserve"> </w:t>
      </w:r>
      <w:r>
        <w:t xml:space="preserve">“the life of the flesh is in the blood, and I have given it for you on the altar to make atonement for your lives”</w:t>
      </w:r>
      <w:r>
        <w:t xml:space="preserve"> </w:t>
      </w:r>
      <w:r>
        <w:t xml:space="preserve">(v. 11). This verse establishes three permanent theological axioms: (1) blood is the seat of life, and life belongs to God; (2) atonement — the covering or removing of sin’s guilt and penalty — is accomplished through the giving of a life; and (3) this provision is entirely God’s gift, not human achievement (</w:t>
      </w:r>
      <w:r>
        <w:t xml:space="preserve">“I have given it”</w:t>
      </w:r>
      <w:r>
        <w:t xml:space="preserve">). The chapter teaches that holiness is not merely a cultic category confined to formal worship moments — it pervades every act of slaughter, every hunt, every meal. Blood is never neutral; it always carries the weight of the life that was in it and the God who gave it. The exclusion of unauthorized sacrifice and the prohibition of blood-consumption together form a coherent theology: God alone defines the terms and the place of atonement, and the medium of atonement — blood — may never be treated as ordinary.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17 is the Old Testament’s most explicit anticipation of the Reformed doctrine of penal substitutionary atonement. The logic of verse 11 — a life given for a life, by divine provision, through the shedding of blood — is the same logic the Westminster Larger Catechism unpacks when it explains that Christ</w:t>
      </w:r>
      <w:r>
        <w:t xml:space="preserve"> </w:t>
      </w:r>
      <w:r>
        <w:t xml:space="preserve">“satisfied divine justice”</w:t>
      </w:r>
      <w:r>
        <w:t xml:space="preserve"> </w:t>
      </w:r>
      <w:r>
        <w:t xml:space="preserve">by offering Himself as</w:t>
      </w:r>
      <w:r>
        <w:t xml:space="preserve"> </w:t>
      </w:r>
      <w:r>
        <w:t xml:space="preserve">“a sacrifice of a sweet-smelling savor”</w:t>
      </w:r>
      <w:r>
        <w:t xml:space="preserve"> </w:t>
      </w:r>
      <w:r>
        <w:t xml:space="preserve">(cf. v. 6) to make</w:t>
      </w:r>
      <w:r>
        <w:t xml:space="preserve"> </w:t>
      </w:r>
      <w:r>
        <w:t xml:space="preserve">“reconciliation”</w:t>
      </w:r>
      <w:r>
        <w:t xml:space="preserve"> </w:t>
      </w:r>
      <w:r>
        <w:t xml:space="preserve">and</w:t>
      </w:r>
      <w:r>
        <w:t xml:space="preserve"> </w:t>
      </w:r>
      <w:r>
        <w:t xml:space="preserve">“obtain an everlasting inheritance.”</w:t>
      </w:r>
      <w:r>
        <w:t xml:space="preserve"> </w:t>
      </w:r>
      <w:r>
        <w:t xml:space="preserve">The chapter also grounds the Reformed insistence on the sole mediatorship of Christ and the sole authority of Scripture in defining the means of grace: just as there was one altar and one divinely appointed mediatorial structure in Israel, there is one Mediator and one gospel in the New Covenant — all approaches to God that bypass the blood of Christ are, in the logic of Leviticus 17, approaches to a different altar. The chapter further grounds the Reformed understanding of the covenant community as a people defined by grace (the blood is God’s gift, v. 11c) rather than by moral achievement, and it establishes that this grace is neither cheap nor casual — it is purchased at the cost of a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alive before God because a life was given for yours. That is not poetic language — it is the literal logic of every drop of blood drained in Israel and of every drop of blood shed at Golgotha. God wrote that theology into the daily habits of His old covenant people so they could never forget it; He asks you to carry the same weight of understanding into every act of worship, every Lord’s Supper, every prayer. The blood of Christ is the most sacred reality in your existence — treat it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ancient hygiene or anthropology.</w:t>
      </w:r>
      <w:r>
        <w:t xml:space="preserve"> </w:t>
      </w:r>
      <w:r>
        <w:t xml:space="preserve">A common failure is to explain the blood-laws primarily in terms of ancient Near Eastern culture, food safety, or Israel’s need to distinguish itself from Canaanite practices, and to leave the congregation there. While the cultural background is illuminating, Leviticus 17 provides its own theological rationale in verse 11 — and that rationale is not</w:t>
      </w:r>
      <w:r>
        <w:t xml:space="preserve"> </w:t>
      </w:r>
      <w:r>
        <w:t xml:space="preserve">“because bacteria”</w:t>
      </w:r>
      <w:r>
        <w:t xml:space="preserve"> </w:t>
      </w:r>
      <w:r>
        <w:t xml:space="preserve">or</w:t>
      </w:r>
      <w:r>
        <w:t xml:space="preserve"> </w:t>
      </w:r>
      <w:r>
        <w:t xml:space="preserve">“because pagans did otherwise.”</w:t>
      </w:r>
      <w:r>
        <w:t xml:space="preserve"> </w:t>
      </w:r>
      <w:r>
        <w:t xml:space="preserve">To stop at cultural explanation is to refuse the text’s own interpretation of itself.</w:t>
      </w:r>
    </w:p>
    <w:p>
      <w:pPr>
        <w:numPr>
          <w:ilvl w:val="0"/>
          <w:numId w:val="1002"/>
        </w:numPr>
      </w:pPr>
      <w:r>
        <w:rPr>
          <w:b/>
          <w:bCs/>
        </w:rPr>
        <w:t xml:space="preserve">Preaching the chapter without arriving at verse 11.</w:t>
      </w:r>
      <w:r>
        <w:t xml:space="preserve"> </w:t>
      </w:r>
      <w:r>
        <w:t xml:space="preserve">The entire chapter is organized around verse 11. If the sermon does not arrive at the theological core — life is in the blood, God has given it for atonement, therefore blood is sacred — the sermon has described the regulations without preaching their reason. Verse 11 is not a footnote; it is the load-bearing wall the whole chapter rests on.</w:t>
      </w:r>
    </w:p>
    <w:p>
      <w:pPr>
        <w:numPr>
          <w:ilvl w:val="0"/>
          <w:numId w:val="1002"/>
        </w:numPr>
      </w:pPr>
      <w:r>
        <w:rPr>
          <w:b/>
          <w:bCs/>
        </w:rPr>
        <w:t xml:space="preserve">Treating the passage as a proof-text for dietary regulations without canonical coordination.</w:t>
      </w:r>
      <w:r>
        <w:t xml:space="preserve"> </w:t>
      </w:r>
      <w:r>
        <w:t xml:space="preserve">Congregants may ask whether Christians should avoid blood-foods (black pudding, rare meat, etc.), citing this chapter or Acts 15. The answer requires careful canonical work: the theological principle (blood-sanctity because of atonement) is permanent; the specific dietary application (do not eat blood) is a Mosaic covenant regulation adjusted in the New Covenant, as the Jerusalem Council’s pastoral reasoning in Acts 15 and Paul’s food-freedom teaching in Romans 14–15 and 1 Corinthians 8–10 confirm. The preacher must distinguish the permanent principle from its Mosaic application without either dismissing the principle or re-imposing the Levitical diet code.</w:t>
      </w:r>
    </w:p>
    <w:p>
      <w:pPr>
        <w:numPr>
          <w:ilvl w:val="0"/>
          <w:numId w:val="1002"/>
        </w:numPr>
      </w:pPr>
      <w:r>
        <w:rPr>
          <w:b/>
          <w:bCs/>
        </w:rPr>
        <w:t xml:space="preserve">Missing the anti-idolatry dimension (v. 7) and its New Covenant application.</w:t>
      </w:r>
      <w:r>
        <w:t xml:space="preserve"> </w:t>
      </w:r>
      <w:r>
        <w:t xml:space="preserve">The equation of unauthorized sacrifice with goat-demon worship is not a rhetorical flourish — it is a theological statement about what happens when worship bypasses God’s appointed structure. In the New Covenant, the warning is not about goat-demons but about approaching God through any means other than Christ’s blood. A sermon that treats verse 7 as a historical curiosity about wilderness demonology and fails to draw the line to</w:t>
      </w:r>
      <w:r>
        <w:t xml:space="preserve"> </w:t>
      </w:r>
      <w:r>
        <w:t xml:space="preserve">“there is one mediator between God and men”</w:t>
      </w:r>
      <w:r>
        <w:t xml:space="preserve"> </w:t>
      </w:r>
      <w:r>
        <w:t xml:space="preserve">has missed an urgent pastoral opportunity.</w:t>
      </w:r>
    </w:p>
    <w:p>
      <w:pPr>
        <w:numPr>
          <w:ilvl w:val="0"/>
          <w:numId w:val="1002"/>
        </w:numPr>
      </w:pPr>
      <w:r>
        <w:rPr>
          <w:b/>
          <w:bCs/>
        </w:rPr>
        <w:t xml:space="preserve">Applying the chapter moralistically without grounding application in God’s provision.</w:t>
      </w:r>
      <w:r>
        <w:t xml:space="preserve"> </w:t>
      </w:r>
      <w:r>
        <w:t xml:space="preserve">The most common homiletical failure with any passage about holiness is to land on</w:t>
      </w:r>
      <w:r>
        <w:t xml:space="preserve"> </w:t>
      </w:r>
      <w:r>
        <w:t xml:space="preserve">“therefore you must be holy”</w:t>
      </w:r>
      <w:r>
        <w:t xml:space="preserve"> </w:t>
      </w:r>
      <w:r>
        <w:t xml:space="preserve">without having first established</w:t>
      </w:r>
      <w:r>
        <w:t xml:space="preserve"> </w:t>
      </w:r>
      <w:r>
        <w:t xml:space="preserve">“therefore God has provided atonement.”</w:t>
      </w:r>
      <w:r>
        <w:t xml:space="preserve"> </w:t>
      </w:r>
      <w:r>
        <w:t xml:space="preserve">The Clowney/Chapell principle is acute here: if the sermon communicates</w:t>
      </w:r>
      <w:r>
        <w:t xml:space="preserve"> </w:t>
      </w:r>
      <w:r>
        <w:t xml:space="preserve">“take blood more seriously”</w:t>
      </w:r>
      <w:r>
        <w:t xml:space="preserve"> </w:t>
      </w:r>
      <w:r>
        <w:t xml:space="preserve">without having first established</w:t>
      </w:r>
      <w:r>
        <w:t xml:space="preserve"> </w:t>
      </w:r>
      <w:r>
        <w:t xml:space="preserve">“God gave the blood for you,”</w:t>
      </w:r>
      <w:r>
        <w:t xml:space="preserve"> </w:t>
      </w:r>
      <w:r>
        <w:t xml:space="preserve">the application is moral demand without gospel ground. The chapter’s logic moves from</w:t>
      </w:r>
      <w:r>
        <w:t xml:space="preserve"> </w:t>
      </w:r>
      <w:r>
        <w:t xml:space="preserve">“God gave the blood”</w:t>
      </w:r>
      <w:r>
        <w:t xml:space="preserve"> </w:t>
      </w:r>
      <w:r>
        <w:t xml:space="preserve">(v. 11) to</w:t>
      </w:r>
      <w:r>
        <w:t xml:space="preserve"> </w:t>
      </w:r>
      <w:r>
        <w:t xml:space="preserve">“therefore treat it as holy”</w:t>
      </w:r>
      <w:r>
        <w:t xml:space="preserve"> </w:t>
      </w:r>
      <w:r>
        <w:t xml:space="preserve">— not the reverse. The application must follow the same sequence.</w:t>
      </w:r>
    </w:p>
    <w:p>
      <w:pPr>
        <w:numPr>
          <w:ilvl w:val="0"/>
          <w:numId w:val="1002"/>
        </w:numPr>
      </w:pPr>
      <w:r>
        <w:rPr>
          <w:b/>
          <w:bCs/>
        </w:rPr>
        <w:t xml:space="preserve">Failing to make the canonical connection to Hebrews explicit.</w:t>
      </w:r>
      <w:r>
        <w:t xml:space="preserve"> </w:t>
      </w:r>
      <w:r>
        <w:t xml:space="preserve">Preaching Leviticus 17 without Hebrews 9–10 leaves the congregation with an Old Testament regulation they have no framework to inhabit. The preacher’s job is to show that the theology of verse 11 is not left behind at the cross but fulfilled there — that the blood of Christ is the substance into which all of Israel’s blood-rites were pointing. Congregations need to hear that they are not studying a religious fossil but reading the grammar of their own salvation.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2026-07-14T21:01:41Z</dcterms:created>
  <dcterms:modified xsi:type="dcterms:W3CDTF">2026-07-14T21:01:41Z</dcterms:modified>
</cp:coreProperties>
</file>

<file path=docProps/custom.xml><?xml version="1.0" encoding="utf-8"?>
<Properties xmlns="http://schemas.openxmlformats.org/officeDocument/2006/custom-properties" xmlns:vt="http://schemas.openxmlformats.org/officeDocument/2006/docPropsVTypes"/>
</file>